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4D45C999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B54002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8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9D733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6438</w:t>
      </w:r>
    </w:p>
    <w:p w14:paraId="4BF14776" w14:textId="4F39E6F3" w:rsidR="00AA3FAE" w:rsidRPr="00AA3FAE" w:rsidRDefault="003C333E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B54002">
        <w:rPr>
          <w:rFonts w:ascii="Arial" w:eastAsia="宋体" w:hAnsi="Arial" w:cs="黑体"/>
          <w:b/>
          <w:bCs/>
          <w:noProof/>
          <w:kern w:val="0"/>
          <w:sz w:val="24"/>
        </w:rPr>
        <w:t>4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6D01B7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B54002">
        <w:rPr>
          <w:rFonts w:ascii="Arial" w:eastAsia="宋体" w:hAnsi="Arial" w:cs="黑体"/>
          <w:b/>
          <w:bCs/>
          <w:noProof/>
          <w:kern w:val="0"/>
          <w:sz w:val="24"/>
        </w:rPr>
        <w:t>Nov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527A335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00B66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4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69C875F2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Interference mitigation of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mobile</w:t>
      </w:r>
      <w:r w:rsidR="008A6D83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IAB-node</w:t>
      </w:r>
      <w:r w:rsidR="00F729C9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 mobility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055EB1BC" w14:textId="67F708A5" w:rsidR="00B12328" w:rsidRDefault="00B12328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last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 xml:space="preserve">two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RAN3 meeting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following agreements </w:t>
      </w:r>
      <w:r w:rsidR="00137B7C">
        <w:rPr>
          <w:rFonts w:ascii="Times New Roman" w:eastAsia="宋体" w:hAnsi="Times New Roman" w:cs="Times New Roman"/>
          <w:kern w:val="0"/>
          <w:sz w:val="20"/>
          <w:szCs w:val="20"/>
        </w:rPr>
        <w:t>had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been achieved for interference mitigation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 xml:space="preserve"> [</w:t>
      </w:r>
      <w:r w:rsidR="00FC109E"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="009B67DC">
        <w:rPr>
          <w:rFonts w:ascii="Times New Roman" w:eastAsia="宋体" w:hAnsi="Times New Roman" w:cs="Times New Roman"/>
          <w:kern w:val="0"/>
          <w:sz w:val="20"/>
          <w:szCs w:val="20"/>
        </w:rPr>
        <w:t>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8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80"/>
      </w:tblGrid>
      <w:tr w:rsidR="00B12328" w14:paraId="6D76BDF0" w14:textId="77777777" w:rsidTr="00F07278">
        <w:trPr>
          <w:trHeight w:val="2820"/>
        </w:trPr>
        <w:tc>
          <w:tcPr>
            <w:tcW w:w="9680" w:type="dxa"/>
          </w:tcPr>
          <w:p w14:paraId="57E3E158" w14:textId="087FF6CD" w:rsidR="009D5AE6" w:rsidRPr="009D5AE6" w:rsidRDefault="009D5AE6" w:rsidP="00421130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[1]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171D99D6" w14:textId="3F23B502" w:rsidR="00B12328" w:rsidRPr="002C1786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PCI space partitioning via OAM configuration can be used in some cases for avoidance of PCI collisions.</w:t>
            </w:r>
          </w:p>
          <w:p w14:paraId="65A36BAD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 xml:space="preserve">From RAN3 perspective, existing mechanism can be used for PCI collision detection in mobile IAB scenario. Further enhancement is FFS. </w:t>
            </w:r>
          </w:p>
          <w:p w14:paraId="4966A9E2" w14:textId="77777777" w:rsidR="00B12328" w:rsidRPr="003D3FCC" w:rsidRDefault="00B12328" w:rsidP="00421130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to discuss whether mobile IAB needs any enhancements to the existing mechanisms for PCI collision avoidance and/or optimization.</w:t>
            </w:r>
          </w:p>
          <w:p w14:paraId="117EC5B8" w14:textId="77777777" w:rsidR="00B12328" w:rsidRDefault="00B12328" w:rsidP="00421130">
            <w:pPr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3D3FCC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From RAN3 perspective, no enhancements are needed for RACH collision avoidance unless requested by other WGs.</w:t>
            </w:r>
          </w:p>
          <w:p w14:paraId="454E5179" w14:textId="1CB28CA6" w:rsidR="009D5AE6" w:rsidRPr="009D5AE6" w:rsidRDefault="009D5AE6" w:rsidP="009D5AE6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 w:rsidR="00FC109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689872FC" w14:textId="77777777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Space Partitioning is performed by OAM and up to implementation.</w:t>
            </w:r>
          </w:p>
          <w:p w14:paraId="3C79B22D" w14:textId="606F9C72" w:rsidR="009D5AE6" w:rsidRPr="00B97033" w:rsidRDefault="009D5AE6" w:rsidP="009D5AE6">
            <w:pPr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B97033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 collision can be detected by the F1-terminating IAB-donor of the mobile IAB-node.</w:t>
            </w:r>
          </w:p>
          <w:p w14:paraId="7BDE5B6D" w14:textId="5292AFD0" w:rsidR="009D5AE6" w:rsidRPr="00D360FB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As baseline, to avoid PCI collision, F1-terminating IAB-donor can reconfigure PCI for the cell of mobile IAB-DU via existing F1AP message.</w:t>
            </w:r>
          </w:p>
          <w:p w14:paraId="02901B5F" w14:textId="5B5B2476" w:rsidR="009D5AE6" w:rsidRPr="009D5AE6" w:rsidRDefault="009D5AE6" w:rsidP="009D5AE6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8000"/>
                <w:sz w:val="18"/>
                <w:szCs w:val="18"/>
              </w:rPr>
              <w:t>PCI-change on the IAB-node can be supported via handover of connected UEs between cells using old and new PCI, respectively.</w:t>
            </w:r>
          </w:p>
        </w:tc>
      </w:tr>
    </w:tbl>
    <w:p w14:paraId="77F07309" w14:textId="7E724212" w:rsidR="002F0CB9" w:rsidRDefault="002F0CB9" w:rsidP="002F0CB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this contribution, 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>i</w:t>
      </w:r>
      <w:r w:rsidR="00710426" w:rsidRPr="00710426">
        <w:rPr>
          <w:rFonts w:ascii="Times New Roman" w:eastAsia="宋体" w:hAnsi="Times New Roman" w:cs="Times New Roman"/>
          <w:kern w:val="0"/>
          <w:sz w:val="20"/>
          <w:szCs w:val="20"/>
        </w:rPr>
        <w:t>nterference mitigation of mobile IAB-node mobility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analyzed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FF3A0E">
        <w:rPr>
          <w:rFonts w:ascii="Times New Roman" w:eastAsia="宋体" w:hAnsi="Times New Roman" w:cs="Times New Roman"/>
          <w:kern w:val="0"/>
          <w:sz w:val="20"/>
          <w:szCs w:val="20"/>
        </w:rPr>
        <w:t>especially for</w:t>
      </w:r>
      <w:r w:rsid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potential PCI during the full migration of mobile IAB-node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343D8B9C" w:rsidR="00AA3FA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FC8DC2A" w14:textId="77777777" w:rsidR="00C35DBA" w:rsidRPr="00F07278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CI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collision detection for partial migration</w:t>
      </w:r>
    </w:p>
    <w:p w14:paraId="47B30D20" w14:textId="77777777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>B</w:t>
      </w:r>
      <w:r>
        <w:rPr>
          <w:rFonts w:ascii="Times New Roman" w:hAnsi="Times New Roman" w:cs="Times New Roman"/>
          <w:kern w:val="0"/>
          <w:sz w:val="20"/>
          <w:szCs w:val="20"/>
        </w:rPr>
        <w:t>ased on the agreement, it’s the F1-terminating IAB-donor-CU to perform PCI collision detection. But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in case of partial migration, mobile IAB-MT and mobile IAB-DU terminates at different IAB-donor-CUs, which means the F1-terminating IAB-donor-CU cannot receive the measurement report from the IAB-MT. However, the F1-terminating IAB-donor-CU can still detect the potential PCI collision based on the serving cell information and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neighbour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cell information in the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message if there is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B0B649C" w14:textId="77777777" w:rsidR="00C35DBA" w:rsidRPr="00A70D29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3F1F824C" w14:textId="77777777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Once there is no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between the F1-terminating IAB-donor-CU and the RRC-terminating IAB-donor-CU, the F1-terminating IAB-donor-CU can still detect the potential PCI collision based on measurement report from UE’s measurement report. In addition, partial migration without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connection has been acknowledged by RAN3 yet, it may too early to investigate this scenario now.</w:t>
      </w:r>
    </w:p>
    <w:p w14:paraId="36D67E58" w14:textId="33A58063" w:rsidR="00C35DBA" w:rsidRDefault="00C35DBA" w:rsidP="00C35DB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7691B">
        <w:rPr>
          <w:rFonts w:ascii="Times New Roman" w:hAnsi="Times New Roman" w:cs="Times New Roman"/>
          <w:b/>
          <w:bCs/>
          <w:kern w:val="0"/>
          <w:sz w:val="20"/>
          <w:szCs w:val="20"/>
        </w:rPr>
        <w:t>1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 without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RAN3 to consider the PCI collision detection after the case has been acknowledged.</w:t>
      </w:r>
    </w:p>
    <w:p w14:paraId="3821C0A1" w14:textId="2FB84BAE" w:rsidR="00F07278" w:rsidRPr="00F07278" w:rsidRDefault="00F07278" w:rsidP="00C35DBA">
      <w:pPr>
        <w:widowControl/>
        <w:overflowPunct w:val="0"/>
        <w:autoSpaceDE w:val="0"/>
        <w:autoSpaceDN w:val="0"/>
        <w:adjustRightInd w:val="0"/>
        <w:spacing w:beforeLines="50" w:before="120"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 w:rsidRPr="00F07278">
        <w:rPr>
          <w:rFonts w:ascii="Times New Roman" w:eastAsia="宋体" w:hAnsi="Times New Roman" w:cs="Times New Roman" w:hint="eastAsia"/>
          <w:b/>
          <w:bCs/>
          <w:kern w:val="0"/>
          <w:sz w:val="22"/>
          <w:u w:val="single"/>
        </w:rPr>
        <w:t>P</w:t>
      </w:r>
      <w:r w:rsidRPr="00F0727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CI Optimization Function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enhancements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583B3A" w14:paraId="641FEED9" w14:textId="77777777" w:rsidTr="001B62E7">
        <w:trPr>
          <w:trHeight w:val="588"/>
        </w:trPr>
        <w:tc>
          <w:tcPr>
            <w:tcW w:w="9633" w:type="dxa"/>
          </w:tcPr>
          <w:p w14:paraId="33E62C70" w14:textId="2043A3D9" w:rsidR="00765057" w:rsidRPr="009D5AE6" w:rsidRDefault="00765057" w:rsidP="00765057">
            <w:pPr>
              <w:ind w:left="144" w:hanging="144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9D5AE6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AN3 117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bis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-e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[2]</w:t>
            </w:r>
            <w:r w:rsidRPr="009D5AE6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 </w:t>
            </w:r>
          </w:p>
          <w:p w14:paraId="7C911001" w14:textId="7D50293C" w:rsidR="00583B3A" w:rsidRPr="00583B3A" w:rsidRDefault="00583B3A" w:rsidP="00583B3A">
            <w:pPr>
              <w:spacing w:beforeLines="50" w:before="120"/>
              <w:rPr>
                <w:rFonts w:ascii="Calibri" w:hAnsi="Calibri" w:cs="Calibri"/>
                <w:b/>
                <w:color w:val="0000FF"/>
                <w:sz w:val="18"/>
                <w:szCs w:val="18"/>
              </w:rPr>
            </w:pPr>
            <w:r w:rsidRPr="00D360FB">
              <w:rPr>
                <w:rFonts w:ascii="Calibri" w:hAnsi="Calibri" w:cs="Calibri"/>
                <w:b/>
                <w:color w:val="0000FF"/>
                <w:sz w:val="18"/>
                <w:szCs w:val="18"/>
              </w:rPr>
              <w:t>FFS for the PCI reconfiguration in case of IAB-donor and IAB-node with different OAMs.</w:t>
            </w:r>
          </w:p>
        </w:tc>
      </w:tr>
    </w:tbl>
    <w:p w14:paraId="132CBB26" w14:textId="45E0217C" w:rsidR="00930369" w:rsidRDefault="00555709" w:rsidP="00F0727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Since PCIs of mobile IAB-DU is assigned by 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 xml:space="preserve">its serving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OAM and PCI collision is detected by IAB-donor-CU of the mobile IAB-node,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following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legacy PCI </w:t>
      </w:r>
      <w:r w:rsidR="00782B38" w:rsidRPr="00555709">
        <w:rPr>
          <w:rFonts w:ascii="Times New Roman" w:eastAsia="宋体" w:hAnsi="Times New Roman" w:cs="Times New Roman"/>
          <w:kern w:val="0"/>
          <w:sz w:val="20"/>
          <w:szCs w:val="20"/>
        </w:rPr>
        <w:t>Optimization</w:t>
      </w:r>
      <w:r w:rsidRPr="00555709">
        <w:rPr>
          <w:rFonts w:ascii="Times New Roman" w:eastAsia="宋体" w:hAnsi="Times New Roman" w:cs="Times New Roman"/>
          <w:kern w:val="0"/>
          <w:sz w:val="20"/>
          <w:szCs w:val="20"/>
        </w:rPr>
        <w:t xml:space="preserve"> Function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A2063">
        <w:rPr>
          <w:rFonts w:ascii="Times New Roman" w:eastAsia="宋体" w:hAnsi="Times New Roman" w:cs="Times New Roman"/>
          <w:kern w:val="0"/>
          <w:sz w:val="20"/>
          <w:szCs w:val="20"/>
        </w:rPr>
        <w:t xml:space="preserve">[3]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cannot be workable if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 xml:space="preserve">mobile IAB-node and </w:t>
      </w:r>
      <w:r w:rsidR="00FD7385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4C5905">
        <w:rPr>
          <w:rFonts w:ascii="Times New Roman" w:eastAsia="宋体" w:hAnsi="Times New Roman" w:cs="Times New Roman"/>
          <w:kern w:val="0"/>
          <w:sz w:val="20"/>
          <w:szCs w:val="20"/>
        </w:rPr>
        <w:t>IAB-donor-CU are served by different OAMs</w:t>
      </w:r>
      <w:r w:rsidR="009235C8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W w:w="965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53"/>
      </w:tblGrid>
      <w:tr w:rsidR="009235C8" w14:paraId="64E8DCEC" w14:textId="77777777" w:rsidTr="001D1646">
        <w:trPr>
          <w:trHeight w:val="3392"/>
        </w:trPr>
        <w:tc>
          <w:tcPr>
            <w:tcW w:w="9653" w:type="dxa"/>
          </w:tcPr>
          <w:p w14:paraId="5A850D69" w14:textId="3D336721" w:rsidR="009235C8" w:rsidRPr="00B76E38" w:rsidRDefault="009235C8" w:rsidP="000E47A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80" w:after="180"/>
              <w:ind w:left="1134" w:hanging="1134"/>
              <w:jc w:val="left"/>
              <w:outlineLvl w:val="1"/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ko-KR"/>
              </w:rPr>
            </w:pPr>
            <w:bookmarkStart w:id="2" w:name="_Toc98351704"/>
            <w:bookmarkStart w:id="3" w:name="_Toc98748002"/>
            <w:bookmarkStart w:id="4" w:name="_Toc105704388"/>
            <w:bookmarkStart w:id="5" w:name="_Toc106108506"/>
            <w:bookmarkStart w:id="6" w:name="_Toc107829478"/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>7.8</w:t>
            </w:r>
            <w:r w:rsidRPr="00B76E38">
              <w:rPr>
                <w:rFonts w:ascii="Arial" w:eastAsia="Times New Roman" w:hAnsi="Arial" w:cs="Times New Roman"/>
                <w:kern w:val="0"/>
                <w:sz w:val="32"/>
                <w:szCs w:val="20"/>
                <w:lang w:val="en-GB" w:eastAsia="en-GB"/>
              </w:rPr>
              <w:tab/>
              <w:t>PCI Optimisation Function</w:t>
            </w:r>
            <w:bookmarkEnd w:id="2"/>
            <w:bookmarkEnd w:id="3"/>
            <w:bookmarkEnd w:id="4"/>
            <w:bookmarkEnd w:id="5"/>
            <w:bookmarkEnd w:id="6"/>
          </w:p>
          <w:p w14:paraId="3D604A6A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The PCI Optimization Function in non-split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case is specified in TS 38.300 [2].</w:t>
            </w:r>
          </w:p>
          <w:p w14:paraId="3213931C" w14:textId="77777777" w:rsidR="009235C8" w:rsidRPr="00B76E38" w:rsidRDefault="009235C8" w:rsidP="000E47A7">
            <w:pPr>
              <w:widowControl/>
              <w:tabs>
                <w:tab w:val="left" w:pos="7400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configures a PCI for each NR cell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-DU.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ab/>
            </w:r>
          </w:p>
          <w:p w14:paraId="33FF6167" w14:textId="77777777" w:rsidR="009235C8" w:rsidRPr="00B76E38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centralized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 of NR cells and reports the NR cells suffering PCI conflict to OAM directly. The OAM </w:t>
            </w:r>
            <w:proofErr w:type="gram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is in charge of</w:t>
            </w:r>
            <w:proofErr w:type="gram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reassigning a new PCI for the NR cell subject to PCI conflict.</w:t>
            </w:r>
          </w:p>
          <w:p w14:paraId="67488A27" w14:textId="77777777" w:rsidR="009235C8" w:rsidRPr="008E4D2F" w:rsidRDefault="009235C8" w:rsidP="000E47A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For distributed PCI assignment in split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 architecture, the OAM assigns a list of PCIs for each NR cell and sends the configured PCI list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-CU. If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detects PCI conflict,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-CU may select a new PCI value from the preconfigured PCI list for the NR cell and send it to the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 xml:space="preserve">-DU by either F1 Setup procedure or </w:t>
            </w:r>
            <w:proofErr w:type="spellStart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gNB</w:t>
            </w:r>
            <w:proofErr w:type="spellEnd"/>
            <w:r w:rsidRPr="00B76E3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  <w:t>-CU configuration update procedure.</w:t>
            </w:r>
          </w:p>
        </w:tc>
      </w:tr>
    </w:tbl>
    <w:p w14:paraId="4875D759" w14:textId="3BE28430" w:rsidR="00930369" w:rsidRDefault="007E0C15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If mobile IAB-node and IAB-donor-CU are served by different OAMs, for </w:t>
      </w:r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centralized PCI assignment in split </w:t>
      </w:r>
      <w:proofErr w:type="spellStart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it’s still the IAB-donor-CU to detect the PCI collision and the IAB-donor-CU may need to inform the </w:t>
      </w:r>
      <w:r w:rsidR="00F9271D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PCI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collision to the mobile IAB-node so that the mobile IAB-node can request a new PCI from its serving OAM. </w:t>
      </w:r>
      <w:r w:rsidR="00F9271D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And based on the agreement in last meeting, 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it’s the 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>F1-terminating IAB-don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or-CU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to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reconfigure PCI for the cell of mobile IAB-DU via existing F1AP messag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e to avoid collision, therefore, the mobile IAB-node needs to report the new PCI obtained from its serving OAM to the </w:t>
      </w:r>
      <w:r w:rsidR="00C36C8A" w:rsidRPr="00C36C8A">
        <w:rPr>
          <w:rFonts w:ascii="Times New Roman" w:eastAsia="Times New Roman" w:hAnsi="Times New Roman" w:cs="Times New Roman"/>
          <w:kern w:val="0"/>
          <w:sz w:val="20"/>
          <w:szCs w:val="20"/>
        </w:rPr>
        <w:t>F1-terminating IAB-don</w:t>
      </w:r>
      <w:r w:rsidR="00C36C8A">
        <w:rPr>
          <w:rFonts w:ascii="Times New Roman" w:eastAsia="Times New Roman" w:hAnsi="Times New Roman" w:cs="Times New Roman"/>
          <w:kern w:val="0"/>
          <w:sz w:val="20"/>
          <w:szCs w:val="20"/>
        </w:rPr>
        <w:t>or-CU.</w:t>
      </w:r>
    </w:p>
    <w:p w14:paraId="2832E894" w14:textId="32FBD283" w:rsidR="00C36C8A" w:rsidRPr="00484705" w:rsidRDefault="00C36C8A" w:rsidP="007E0C15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7691B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For centralized PCI assignment in split </w:t>
      </w:r>
      <w:proofErr w:type="spellStart"/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 w:rsid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</w:t>
      </w:r>
      <w:r w:rsidR="00CD5BAF"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="00782B38"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07155592" w14:textId="1324CF06" w:rsidR="00782B38" w:rsidRPr="00484705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626DB88" w14:textId="1E48439F" w:rsidR="00782B38" w:rsidRPr="00484705" w:rsidRDefault="00782B38" w:rsidP="00484705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11F1073D" w14:textId="378A4A6D" w:rsidR="007E0C15" w:rsidRDefault="003D4393" w:rsidP="0019499C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For distributed PCI assignment in split </w:t>
      </w:r>
      <w:proofErr w:type="spellStart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B76E38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architecture,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the OAM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of mobile IAB-node may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assign a list of PCIs for each NR cell and sends the configured PCI list to the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mobile IAB-node, and the mobile IAB-node needs to report the PCI list to its IAB-donor-CU. Once the PCI collision has detected by the IAB-donor-CU, the IAB-donor-CU 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may select a new PCI value from the PCI list for the NR cell and send it to the </w:t>
      </w:r>
      <w:r>
        <w:rPr>
          <w:rFonts w:ascii="Times New Roman" w:eastAsia="Times New Roman" w:hAnsi="Times New Roman" w:cs="Times New Roman"/>
          <w:kern w:val="0"/>
          <w:sz w:val="20"/>
          <w:szCs w:val="20"/>
        </w:rPr>
        <w:t>mobile IAB-DU</w:t>
      </w:r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 xml:space="preserve"> by either F1 Setup procedure or </w:t>
      </w:r>
      <w:proofErr w:type="spellStart"/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gNB</w:t>
      </w:r>
      <w:proofErr w:type="spellEnd"/>
      <w:r w:rsidRPr="003D4393">
        <w:rPr>
          <w:rFonts w:ascii="Times New Roman" w:eastAsia="Times New Roman" w:hAnsi="Times New Roman" w:cs="Times New Roman"/>
          <w:kern w:val="0"/>
          <w:sz w:val="20"/>
          <w:szCs w:val="20"/>
        </w:rPr>
        <w:t>-CU configuration update procedure.</w:t>
      </w:r>
    </w:p>
    <w:p w14:paraId="763F710C" w14:textId="66FC697E" w:rsidR="00921A39" w:rsidRDefault="00921A39" w:rsidP="00921A39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7691B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751AEA6E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potential i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nterference mitigation </w:t>
      </w:r>
      <w:r w:rsidR="003A68EF">
        <w:rPr>
          <w:rFonts w:ascii="Times New Roman" w:eastAsia="宋体" w:hAnsi="Times New Roman" w:cs="Times New Roman"/>
          <w:kern w:val="0"/>
          <w:sz w:val="20"/>
          <w:szCs w:val="20"/>
        </w:rPr>
        <w:t>for</w:t>
      </w:r>
      <w:r w:rsidR="003A68EF" w:rsidRPr="00710426">
        <w:rPr>
          <w:rFonts w:ascii="Times New Roman" w:eastAsia="宋体" w:hAnsi="Times New Roman" w:cs="Times New Roman"/>
          <w:kern w:val="0"/>
          <w:sz w:val="20"/>
          <w:szCs w:val="20"/>
        </w:rPr>
        <w:t xml:space="preserve"> mobile IAB-node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23184145" w14:textId="77777777" w:rsidR="00546280" w:rsidRPr="00A70D29" w:rsidRDefault="00546280" w:rsidP="00546280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Observation 1: In case of partial migration, F1-terminating IAB-donor-CU can detect the potential PCI collision based on the serving cell information and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neighbour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cell information in the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message if there is </w:t>
      </w:r>
      <w:proofErr w:type="spellStart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 w:rsidRPr="00A70D2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 between the F1-terminating IAB-donor-CU and the RRC-terminating IAB-donor-CU.</w:t>
      </w:r>
    </w:p>
    <w:p w14:paraId="49898755" w14:textId="77777777" w:rsidR="0037691B" w:rsidRDefault="0037691B" w:rsidP="0037691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1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In case of partial migration without </w:t>
      </w:r>
      <w:proofErr w:type="spellStart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Xn</w:t>
      </w:r>
      <w:proofErr w:type="spellEnd"/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connection, RAN3 to consider the PCI collision detection after the case has been acknowledged.</w:t>
      </w:r>
    </w:p>
    <w:p w14:paraId="27CA8CF3" w14:textId="3CE83254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37691B">
        <w:rPr>
          <w:rFonts w:ascii="Times New Roman" w:hAnsi="Times New Roman" w:cs="Times New Roman"/>
          <w:b/>
          <w:bCs/>
          <w:kern w:val="0"/>
          <w:sz w:val="20"/>
          <w:szCs w:val="20"/>
        </w:rPr>
        <w:t>2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centralized 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IAB-donor-CU and mobile IAB-node have following enhancements to legacy PCI Optimization Function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08E01C6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IAB-donor-CU informs the PCI collision to mobile IAB-node</w:t>
      </w:r>
    </w:p>
    <w:p w14:paraId="02E6C4F4" w14:textId="77777777" w:rsidR="00FF72CB" w:rsidRPr="00484705" w:rsidRDefault="00FF72CB" w:rsidP="00FF72CB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eastAsia="Times New Roman" w:hAnsi="Times New Roman" w:cs="Times New Roman"/>
          <w:b/>
          <w:bCs/>
          <w:kern w:val="0"/>
          <w:sz w:val="20"/>
          <w:szCs w:val="20"/>
        </w:rPr>
        <w:t>Mobile IAB-node reports the new PCI to IAB-donor-CU</w:t>
      </w:r>
    </w:p>
    <w:p w14:paraId="6A1E64B5" w14:textId="46EC69D6" w:rsidR="00FF72CB" w:rsidRPr="00484705" w:rsidRDefault="00FF72CB" w:rsidP="00FF72CB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lastRenderedPageBreak/>
        <w:t xml:space="preserve">Proposal </w:t>
      </w:r>
      <w:r w:rsidR="0037691B">
        <w:rPr>
          <w:rFonts w:ascii="Times New Roman" w:hAnsi="Times New Roman" w:cs="Times New Roman"/>
          <w:b/>
          <w:bCs/>
          <w:kern w:val="0"/>
          <w:sz w:val="20"/>
          <w:szCs w:val="20"/>
        </w:rPr>
        <w:t>3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: For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distributed 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PCI assignment in split </w:t>
      </w:r>
      <w:proofErr w:type="spellStart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gNB</w:t>
      </w:r>
      <w:proofErr w:type="spellEnd"/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architecture,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mobile IAB-node may report the PCI list assigned by its OAM to IAB-donor-CU, and </w:t>
      </w:r>
      <w:r w:rsidRPr="00921A39">
        <w:rPr>
          <w:rFonts w:ascii="Times New Roman" w:hAnsi="Times New Roman" w:cs="Times New Roman"/>
          <w:b/>
          <w:bCs/>
          <w:kern w:val="0"/>
          <w:sz w:val="20"/>
          <w:szCs w:val="20"/>
        </w:rPr>
        <w:t>the IAB-donor-CU may select a new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PCI value from the PCI list to upon PCI collision,</w:t>
      </w:r>
      <w:r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>i</w:t>
      </w:r>
      <w:r w:rsidRPr="00CD5BAF">
        <w:rPr>
          <w:rFonts w:ascii="Times New Roman" w:hAnsi="Times New Roman" w:cs="Times New Roman"/>
          <w:b/>
          <w:bCs/>
          <w:kern w:val="0"/>
          <w:sz w:val="20"/>
          <w:szCs w:val="20"/>
        </w:rPr>
        <w:t>f mobile IAB-node and IAB-donor-CU are served by different OAMs</w:t>
      </w:r>
      <w:r w:rsidRPr="00484705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1691EE7B" w14:textId="6310101A" w:rsidR="00FF3A0E" w:rsidRDefault="00FF3A0E" w:rsidP="002F0CB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RAN3 117-e meeting.</w:t>
      </w:r>
    </w:p>
    <w:p w14:paraId="7A46ACE1" w14:textId="2239790F" w:rsidR="009B67DC" w:rsidRPr="009B67DC" w:rsidRDefault="009B67DC" w:rsidP="009B67D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RAN3 117bis-e meeting.</w:t>
      </w:r>
    </w:p>
    <w:p w14:paraId="2AFF1D3C" w14:textId="6D0FC7A0" w:rsidR="00E07038" w:rsidRPr="00546280" w:rsidRDefault="00590794" w:rsidP="00944C8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3GPP TS 38.</w:t>
      </w:r>
      <w:r w:rsidR="0042219E">
        <w:rPr>
          <w:rFonts w:ascii="Times New Roman" w:eastAsia="宋体" w:hAnsi="Times New Roman" w:cs="Times New Roman" w:hint="eastAsia"/>
          <w:kern w:val="0"/>
          <w:sz w:val="20"/>
          <w:lang w:val="x-none"/>
        </w:rPr>
        <w:t>4</w:t>
      </w:r>
      <w:r w:rsidR="0042219E">
        <w:rPr>
          <w:rFonts w:ascii="Times New Roman" w:eastAsia="宋体" w:hAnsi="Times New Roman" w:cs="Times New Roman"/>
          <w:kern w:val="0"/>
          <w:sz w:val="20"/>
          <w:lang w:val="x-none"/>
        </w:rPr>
        <w:t>01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 w:rsidRPr="00590794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Architecture description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(Release 1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7</w:t>
      </w:r>
      <w:r w:rsidRPr="00D13826">
        <w:rPr>
          <w:rFonts w:ascii="Times New Roman" w:eastAsia="宋体" w:hAnsi="Times New Roman" w:cs="Times New Roman"/>
          <w:kern w:val="0"/>
          <w:sz w:val="20"/>
          <w:lang w:val="x-none"/>
        </w:rPr>
        <w:t>)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</w:p>
    <w:sectPr w:rsidR="00E07038" w:rsidRPr="00546280" w:rsidSect="0085683C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CEAE2" w14:textId="77777777" w:rsidR="00B03B44" w:rsidRDefault="00B03B44" w:rsidP="00AA3FAE">
      <w:r>
        <w:separator/>
      </w:r>
    </w:p>
  </w:endnote>
  <w:endnote w:type="continuationSeparator" w:id="0">
    <w:p w14:paraId="41E3DC9C" w14:textId="77777777" w:rsidR="00B03B44" w:rsidRDefault="00B03B44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A3B1" w14:textId="77777777" w:rsidR="00B03B44" w:rsidRDefault="00B03B44" w:rsidP="00AA3FAE">
      <w:r>
        <w:separator/>
      </w:r>
    </w:p>
  </w:footnote>
  <w:footnote w:type="continuationSeparator" w:id="0">
    <w:p w14:paraId="2ECC002A" w14:textId="77777777" w:rsidR="00B03B44" w:rsidRDefault="00B03B44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3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58E7410"/>
    <w:multiLevelType w:val="hybridMultilevel"/>
    <w:tmpl w:val="BE961BDC"/>
    <w:lvl w:ilvl="0" w:tplc="4B764A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3E583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2443C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224E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A6870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CA58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4250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93ECD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B077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9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D433E5A"/>
    <w:multiLevelType w:val="hybridMultilevel"/>
    <w:tmpl w:val="94C49950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24188"/>
    <w:rsid w:val="00026089"/>
    <w:rsid w:val="000306D0"/>
    <w:rsid w:val="00032116"/>
    <w:rsid w:val="00035328"/>
    <w:rsid w:val="00035983"/>
    <w:rsid w:val="00047E11"/>
    <w:rsid w:val="000505CB"/>
    <w:rsid w:val="00053336"/>
    <w:rsid w:val="000566E1"/>
    <w:rsid w:val="00060A16"/>
    <w:rsid w:val="000613CF"/>
    <w:rsid w:val="0006683B"/>
    <w:rsid w:val="00070D39"/>
    <w:rsid w:val="00072D31"/>
    <w:rsid w:val="0007706D"/>
    <w:rsid w:val="000821E8"/>
    <w:rsid w:val="00086B95"/>
    <w:rsid w:val="000874BB"/>
    <w:rsid w:val="000942DC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E24D5"/>
    <w:rsid w:val="000E61B1"/>
    <w:rsid w:val="000E651D"/>
    <w:rsid w:val="000E706D"/>
    <w:rsid w:val="000F0260"/>
    <w:rsid w:val="000F6A9D"/>
    <w:rsid w:val="000F7E87"/>
    <w:rsid w:val="00100689"/>
    <w:rsid w:val="00101812"/>
    <w:rsid w:val="00107AD8"/>
    <w:rsid w:val="00111B28"/>
    <w:rsid w:val="0011469E"/>
    <w:rsid w:val="00121955"/>
    <w:rsid w:val="00123848"/>
    <w:rsid w:val="00130515"/>
    <w:rsid w:val="00134A9A"/>
    <w:rsid w:val="00134C0A"/>
    <w:rsid w:val="001353CD"/>
    <w:rsid w:val="00137B7C"/>
    <w:rsid w:val="001403B2"/>
    <w:rsid w:val="0015062E"/>
    <w:rsid w:val="0015523D"/>
    <w:rsid w:val="001556FC"/>
    <w:rsid w:val="00161A1A"/>
    <w:rsid w:val="001623DF"/>
    <w:rsid w:val="0017256C"/>
    <w:rsid w:val="00172D96"/>
    <w:rsid w:val="0017356D"/>
    <w:rsid w:val="001847E8"/>
    <w:rsid w:val="0018528A"/>
    <w:rsid w:val="00190FAF"/>
    <w:rsid w:val="00192908"/>
    <w:rsid w:val="0019499C"/>
    <w:rsid w:val="0019595A"/>
    <w:rsid w:val="001A2383"/>
    <w:rsid w:val="001A38C6"/>
    <w:rsid w:val="001A44C7"/>
    <w:rsid w:val="001B31AB"/>
    <w:rsid w:val="001B4DEE"/>
    <w:rsid w:val="001B62E7"/>
    <w:rsid w:val="001C0F1D"/>
    <w:rsid w:val="001C3355"/>
    <w:rsid w:val="001D1646"/>
    <w:rsid w:val="001D5289"/>
    <w:rsid w:val="001D64DD"/>
    <w:rsid w:val="001D781E"/>
    <w:rsid w:val="001E31B9"/>
    <w:rsid w:val="001E3861"/>
    <w:rsid w:val="001E3B95"/>
    <w:rsid w:val="001F0325"/>
    <w:rsid w:val="001F34D3"/>
    <w:rsid w:val="001F5824"/>
    <w:rsid w:val="00200B66"/>
    <w:rsid w:val="002070BF"/>
    <w:rsid w:val="00213791"/>
    <w:rsid w:val="0022248C"/>
    <w:rsid w:val="00222F62"/>
    <w:rsid w:val="00227B13"/>
    <w:rsid w:val="00230B9F"/>
    <w:rsid w:val="00232519"/>
    <w:rsid w:val="00233CFB"/>
    <w:rsid w:val="0024433A"/>
    <w:rsid w:val="00245134"/>
    <w:rsid w:val="00245E3F"/>
    <w:rsid w:val="002500C6"/>
    <w:rsid w:val="00252938"/>
    <w:rsid w:val="00256265"/>
    <w:rsid w:val="00256648"/>
    <w:rsid w:val="00261529"/>
    <w:rsid w:val="002719DB"/>
    <w:rsid w:val="00273BFE"/>
    <w:rsid w:val="00277010"/>
    <w:rsid w:val="00281EF8"/>
    <w:rsid w:val="00283294"/>
    <w:rsid w:val="00286C7E"/>
    <w:rsid w:val="0028711C"/>
    <w:rsid w:val="00292940"/>
    <w:rsid w:val="002A31BD"/>
    <w:rsid w:val="002A539D"/>
    <w:rsid w:val="002A5557"/>
    <w:rsid w:val="002A7108"/>
    <w:rsid w:val="002B0937"/>
    <w:rsid w:val="002B23C1"/>
    <w:rsid w:val="002B61AB"/>
    <w:rsid w:val="002B7FB5"/>
    <w:rsid w:val="002C0464"/>
    <w:rsid w:val="002C1BFE"/>
    <w:rsid w:val="002C3C9F"/>
    <w:rsid w:val="002C6DA5"/>
    <w:rsid w:val="002D1AB8"/>
    <w:rsid w:val="002D1BDF"/>
    <w:rsid w:val="002D370E"/>
    <w:rsid w:val="002D6F0D"/>
    <w:rsid w:val="002E166E"/>
    <w:rsid w:val="002F0CB9"/>
    <w:rsid w:val="002F1916"/>
    <w:rsid w:val="002F231B"/>
    <w:rsid w:val="002F4481"/>
    <w:rsid w:val="002F7DD1"/>
    <w:rsid w:val="00300F1D"/>
    <w:rsid w:val="00304AB3"/>
    <w:rsid w:val="003169C7"/>
    <w:rsid w:val="00317068"/>
    <w:rsid w:val="0031760A"/>
    <w:rsid w:val="003179AD"/>
    <w:rsid w:val="00320575"/>
    <w:rsid w:val="0032139A"/>
    <w:rsid w:val="0032255E"/>
    <w:rsid w:val="0032288E"/>
    <w:rsid w:val="00324B30"/>
    <w:rsid w:val="0033243A"/>
    <w:rsid w:val="00340F49"/>
    <w:rsid w:val="00341F62"/>
    <w:rsid w:val="00343D32"/>
    <w:rsid w:val="0035034A"/>
    <w:rsid w:val="003521C3"/>
    <w:rsid w:val="00362F2C"/>
    <w:rsid w:val="00364AC3"/>
    <w:rsid w:val="00373427"/>
    <w:rsid w:val="0037691B"/>
    <w:rsid w:val="00384956"/>
    <w:rsid w:val="00385E03"/>
    <w:rsid w:val="003901C4"/>
    <w:rsid w:val="003912D7"/>
    <w:rsid w:val="003976B5"/>
    <w:rsid w:val="003A0B1A"/>
    <w:rsid w:val="003A18F1"/>
    <w:rsid w:val="003A4A2A"/>
    <w:rsid w:val="003A5735"/>
    <w:rsid w:val="003A68EF"/>
    <w:rsid w:val="003B170E"/>
    <w:rsid w:val="003B23AD"/>
    <w:rsid w:val="003B3394"/>
    <w:rsid w:val="003B4C4B"/>
    <w:rsid w:val="003B753E"/>
    <w:rsid w:val="003C172B"/>
    <w:rsid w:val="003C333E"/>
    <w:rsid w:val="003C6CEF"/>
    <w:rsid w:val="003D1F7C"/>
    <w:rsid w:val="003D4393"/>
    <w:rsid w:val="003E25E3"/>
    <w:rsid w:val="003E65A1"/>
    <w:rsid w:val="003F22E5"/>
    <w:rsid w:val="003F2D27"/>
    <w:rsid w:val="003F2E3B"/>
    <w:rsid w:val="003F5217"/>
    <w:rsid w:val="00402DFA"/>
    <w:rsid w:val="0040415F"/>
    <w:rsid w:val="0040527B"/>
    <w:rsid w:val="00405361"/>
    <w:rsid w:val="00410D54"/>
    <w:rsid w:val="004139B5"/>
    <w:rsid w:val="004139F0"/>
    <w:rsid w:val="00415D56"/>
    <w:rsid w:val="0042219E"/>
    <w:rsid w:val="00431BB4"/>
    <w:rsid w:val="00437048"/>
    <w:rsid w:val="0043789D"/>
    <w:rsid w:val="00445267"/>
    <w:rsid w:val="00445609"/>
    <w:rsid w:val="004561FF"/>
    <w:rsid w:val="00460BC2"/>
    <w:rsid w:val="00460E08"/>
    <w:rsid w:val="00461164"/>
    <w:rsid w:val="0046367F"/>
    <w:rsid w:val="004646DC"/>
    <w:rsid w:val="00470777"/>
    <w:rsid w:val="004774BA"/>
    <w:rsid w:val="0047779A"/>
    <w:rsid w:val="00482C89"/>
    <w:rsid w:val="00482EDB"/>
    <w:rsid w:val="00484705"/>
    <w:rsid w:val="00487DC1"/>
    <w:rsid w:val="00492019"/>
    <w:rsid w:val="00493281"/>
    <w:rsid w:val="004958CF"/>
    <w:rsid w:val="00496C05"/>
    <w:rsid w:val="004A40B8"/>
    <w:rsid w:val="004A4FFF"/>
    <w:rsid w:val="004A7B5F"/>
    <w:rsid w:val="004B04C5"/>
    <w:rsid w:val="004B453E"/>
    <w:rsid w:val="004B516C"/>
    <w:rsid w:val="004B5B72"/>
    <w:rsid w:val="004B5BA7"/>
    <w:rsid w:val="004B5F55"/>
    <w:rsid w:val="004C1E05"/>
    <w:rsid w:val="004C4B68"/>
    <w:rsid w:val="004C5905"/>
    <w:rsid w:val="004C753F"/>
    <w:rsid w:val="004D23F2"/>
    <w:rsid w:val="004D54D2"/>
    <w:rsid w:val="004E0968"/>
    <w:rsid w:val="004E3894"/>
    <w:rsid w:val="004E7396"/>
    <w:rsid w:val="004F17F8"/>
    <w:rsid w:val="004F1FBE"/>
    <w:rsid w:val="004F638B"/>
    <w:rsid w:val="004F7753"/>
    <w:rsid w:val="004F7F21"/>
    <w:rsid w:val="004F7FA8"/>
    <w:rsid w:val="00502253"/>
    <w:rsid w:val="0052218C"/>
    <w:rsid w:val="005237AE"/>
    <w:rsid w:val="00524065"/>
    <w:rsid w:val="00524DF3"/>
    <w:rsid w:val="00525376"/>
    <w:rsid w:val="00530F9F"/>
    <w:rsid w:val="00531731"/>
    <w:rsid w:val="00532DEC"/>
    <w:rsid w:val="005347E6"/>
    <w:rsid w:val="005355E0"/>
    <w:rsid w:val="00542822"/>
    <w:rsid w:val="00542A22"/>
    <w:rsid w:val="00546280"/>
    <w:rsid w:val="00547870"/>
    <w:rsid w:val="005508EC"/>
    <w:rsid w:val="00550D47"/>
    <w:rsid w:val="00555709"/>
    <w:rsid w:val="00555D66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50E7"/>
    <w:rsid w:val="00576069"/>
    <w:rsid w:val="00583B3A"/>
    <w:rsid w:val="00587CBF"/>
    <w:rsid w:val="00590794"/>
    <w:rsid w:val="005939B2"/>
    <w:rsid w:val="00594E0D"/>
    <w:rsid w:val="005A0141"/>
    <w:rsid w:val="005A7B59"/>
    <w:rsid w:val="005B4B3A"/>
    <w:rsid w:val="005B7597"/>
    <w:rsid w:val="005C686B"/>
    <w:rsid w:val="005C6EEA"/>
    <w:rsid w:val="005D286B"/>
    <w:rsid w:val="005E7BCB"/>
    <w:rsid w:val="005F43A6"/>
    <w:rsid w:val="005F5BD1"/>
    <w:rsid w:val="00600143"/>
    <w:rsid w:val="006040E0"/>
    <w:rsid w:val="00604CC3"/>
    <w:rsid w:val="00605573"/>
    <w:rsid w:val="00607C4A"/>
    <w:rsid w:val="00612ED9"/>
    <w:rsid w:val="006215A5"/>
    <w:rsid w:val="006231C3"/>
    <w:rsid w:val="00623643"/>
    <w:rsid w:val="0062366C"/>
    <w:rsid w:val="00625208"/>
    <w:rsid w:val="0062793F"/>
    <w:rsid w:val="00632A14"/>
    <w:rsid w:val="0063421A"/>
    <w:rsid w:val="00644E2C"/>
    <w:rsid w:val="00662469"/>
    <w:rsid w:val="00666EA1"/>
    <w:rsid w:val="00674202"/>
    <w:rsid w:val="006749D1"/>
    <w:rsid w:val="00677632"/>
    <w:rsid w:val="00683F02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B2280"/>
    <w:rsid w:val="006C1E84"/>
    <w:rsid w:val="006D01B7"/>
    <w:rsid w:val="006D1A36"/>
    <w:rsid w:val="006D2AEE"/>
    <w:rsid w:val="006D6F3D"/>
    <w:rsid w:val="006E2F17"/>
    <w:rsid w:val="006E554E"/>
    <w:rsid w:val="006E5A0A"/>
    <w:rsid w:val="006E7976"/>
    <w:rsid w:val="006E7CED"/>
    <w:rsid w:val="006F50AC"/>
    <w:rsid w:val="00703BAA"/>
    <w:rsid w:val="00705A56"/>
    <w:rsid w:val="0070723A"/>
    <w:rsid w:val="00707369"/>
    <w:rsid w:val="00710426"/>
    <w:rsid w:val="00712644"/>
    <w:rsid w:val="00715902"/>
    <w:rsid w:val="007209B0"/>
    <w:rsid w:val="00730BC7"/>
    <w:rsid w:val="00732AEF"/>
    <w:rsid w:val="00736D28"/>
    <w:rsid w:val="00737853"/>
    <w:rsid w:val="007452B6"/>
    <w:rsid w:val="00746F35"/>
    <w:rsid w:val="0075025C"/>
    <w:rsid w:val="0075187D"/>
    <w:rsid w:val="00751A34"/>
    <w:rsid w:val="00754B91"/>
    <w:rsid w:val="00765057"/>
    <w:rsid w:val="0076720C"/>
    <w:rsid w:val="00770C1B"/>
    <w:rsid w:val="00772978"/>
    <w:rsid w:val="00772E0B"/>
    <w:rsid w:val="00780AEB"/>
    <w:rsid w:val="0078172C"/>
    <w:rsid w:val="00782B38"/>
    <w:rsid w:val="007846F4"/>
    <w:rsid w:val="007A2063"/>
    <w:rsid w:val="007C4A72"/>
    <w:rsid w:val="007D06AC"/>
    <w:rsid w:val="007E0C15"/>
    <w:rsid w:val="007E1B20"/>
    <w:rsid w:val="007F0029"/>
    <w:rsid w:val="007F1EE6"/>
    <w:rsid w:val="007F2A4D"/>
    <w:rsid w:val="007F2E5B"/>
    <w:rsid w:val="007F6218"/>
    <w:rsid w:val="007F72C7"/>
    <w:rsid w:val="00811326"/>
    <w:rsid w:val="008127B6"/>
    <w:rsid w:val="00813C06"/>
    <w:rsid w:val="00820313"/>
    <w:rsid w:val="00825F46"/>
    <w:rsid w:val="00832BE1"/>
    <w:rsid w:val="00835D29"/>
    <w:rsid w:val="0084197E"/>
    <w:rsid w:val="00844B51"/>
    <w:rsid w:val="00846F8C"/>
    <w:rsid w:val="008522C2"/>
    <w:rsid w:val="00864DEE"/>
    <w:rsid w:val="00865F65"/>
    <w:rsid w:val="00866ED3"/>
    <w:rsid w:val="00870252"/>
    <w:rsid w:val="008714A7"/>
    <w:rsid w:val="00881EEB"/>
    <w:rsid w:val="0088224B"/>
    <w:rsid w:val="00885223"/>
    <w:rsid w:val="00885F05"/>
    <w:rsid w:val="0088742B"/>
    <w:rsid w:val="00887EAA"/>
    <w:rsid w:val="008924B1"/>
    <w:rsid w:val="0089705F"/>
    <w:rsid w:val="008974CD"/>
    <w:rsid w:val="008A6D83"/>
    <w:rsid w:val="008B1345"/>
    <w:rsid w:val="008B1CAD"/>
    <w:rsid w:val="008B3D16"/>
    <w:rsid w:val="008B4CFB"/>
    <w:rsid w:val="008B7932"/>
    <w:rsid w:val="008B7D21"/>
    <w:rsid w:val="008C1569"/>
    <w:rsid w:val="008C26CC"/>
    <w:rsid w:val="008C7F51"/>
    <w:rsid w:val="008D3D70"/>
    <w:rsid w:val="008D7810"/>
    <w:rsid w:val="008E0ECE"/>
    <w:rsid w:val="008E4D2F"/>
    <w:rsid w:val="008E59A7"/>
    <w:rsid w:val="008F063F"/>
    <w:rsid w:val="008F2DC7"/>
    <w:rsid w:val="008F2F0A"/>
    <w:rsid w:val="008F3B09"/>
    <w:rsid w:val="00906767"/>
    <w:rsid w:val="009113BD"/>
    <w:rsid w:val="009174F1"/>
    <w:rsid w:val="00920490"/>
    <w:rsid w:val="00921A39"/>
    <w:rsid w:val="00922240"/>
    <w:rsid w:val="009235C8"/>
    <w:rsid w:val="009259CA"/>
    <w:rsid w:val="0092699C"/>
    <w:rsid w:val="00926DCD"/>
    <w:rsid w:val="00930369"/>
    <w:rsid w:val="00930F2B"/>
    <w:rsid w:val="00932D3E"/>
    <w:rsid w:val="00943A26"/>
    <w:rsid w:val="00944C84"/>
    <w:rsid w:val="00952028"/>
    <w:rsid w:val="00952057"/>
    <w:rsid w:val="0095297E"/>
    <w:rsid w:val="00953570"/>
    <w:rsid w:val="009551A9"/>
    <w:rsid w:val="00957C7B"/>
    <w:rsid w:val="009607EC"/>
    <w:rsid w:val="00961CE9"/>
    <w:rsid w:val="009658E1"/>
    <w:rsid w:val="009912C5"/>
    <w:rsid w:val="00992405"/>
    <w:rsid w:val="009926ED"/>
    <w:rsid w:val="00994662"/>
    <w:rsid w:val="00994907"/>
    <w:rsid w:val="009A07F1"/>
    <w:rsid w:val="009B000E"/>
    <w:rsid w:val="009B19F1"/>
    <w:rsid w:val="009B3EF1"/>
    <w:rsid w:val="009B67DC"/>
    <w:rsid w:val="009C3C24"/>
    <w:rsid w:val="009C6DD1"/>
    <w:rsid w:val="009C7F3D"/>
    <w:rsid w:val="009D5AE6"/>
    <w:rsid w:val="009D6382"/>
    <w:rsid w:val="009D7335"/>
    <w:rsid w:val="009E4AD9"/>
    <w:rsid w:val="009E4D5F"/>
    <w:rsid w:val="009E506A"/>
    <w:rsid w:val="009E7474"/>
    <w:rsid w:val="009F1E23"/>
    <w:rsid w:val="009F71E8"/>
    <w:rsid w:val="00A035AE"/>
    <w:rsid w:val="00A038AA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2157"/>
    <w:rsid w:val="00A37406"/>
    <w:rsid w:val="00A45B7F"/>
    <w:rsid w:val="00A46452"/>
    <w:rsid w:val="00A51D78"/>
    <w:rsid w:val="00A537B0"/>
    <w:rsid w:val="00A53E8A"/>
    <w:rsid w:val="00A5584E"/>
    <w:rsid w:val="00A601A2"/>
    <w:rsid w:val="00A661E2"/>
    <w:rsid w:val="00A70D29"/>
    <w:rsid w:val="00A765AC"/>
    <w:rsid w:val="00A77D6B"/>
    <w:rsid w:val="00A81646"/>
    <w:rsid w:val="00A84C0F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B36CC"/>
    <w:rsid w:val="00AB47C7"/>
    <w:rsid w:val="00AC25E2"/>
    <w:rsid w:val="00AC3051"/>
    <w:rsid w:val="00AC44C3"/>
    <w:rsid w:val="00AC553A"/>
    <w:rsid w:val="00AC6826"/>
    <w:rsid w:val="00AE4ACB"/>
    <w:rsid w:val="00AE669B"/>
    <w:rsid w:val="00AF05F2"/>
    <w:rsid w:val="00AF4491"/>
    <w:rsid w:val="00AF7716"/>
    <w:rsid w:val="00B0062A"/>
    <w:rsid w:val="00B02263"/>
    <w:rsid w:val="00B03B44"/>
    <w:rsid w:val="00B06DA9"/>
    <w:rsid w:val="00B12328"/>
    <w:rsid w:val="00B17651"/>
    <w:rsid w:val="00B2364A"/>
    <w:rsid w:val="00B25314"/>
    <w:rsid w:val="00B26539"/>
    <w:rsid w:val="00B33EE7"/>
    <w:rsid w:val="00B34B5A"/>
    <w:rsid w:val="00B40018"/>
    <w:rsid w:val="00B403D4"/>
    <w:rsid w:val="00B447E6"/>
    <w:rsid w:val="00B46699"/>
    <w:rsid w:val="00B54002"/>
    <w:rsid w:val="00B54FE2"/>
    <w:rsid w:val="00B65204"/>
    <w:rsid w:val="00B72A52"/>
    <w:rsid w:val="00B74D0D"/>
    <w:rsid w:val="00B76E38"/>
    <w:rsid w:val="00B83738"/>
    <w:rsid w:val="00B862CA"/>
    <w:rsid w:val="00B95D51"/>
    <w:rsid w:val="00B97129"/>
    <w:rsid w:val="00BA0DA5"/>
    <w:rsid w:val="00BA2D04"/>
    <w:rsid w:val="00BA5E1C"/>
    <w:rsid w:val="00BA5EDA"/>
    <w:rsid w:val="00BA6553"/>
    <w:rsid w:val="00BA684C"/>
    <w:rsid w:val="00BB35E5"/>
    <w:rsid w:val="00BB4827"/>
    <w:rsid w:val="00BC12B3"/>
    <w:rsid w:val="00BC78CF"/>
    <w:rsid w:val="00BC7983"/>
    <w:rsid w:val="00BD17DA"/>
    <w:rsid w:val="00BD48C4"/>
    <w:rsid w:val="00BD6541"/>
    <w:rsid w:val="00BD738F"/>
    <w:rsid w:val="00BE0BE9"/>
    <w:rsid w:val="00BE22B6"/>
    <w:rsid w:val="00BE70DD"/>
    <w:rsid w:val="00BF13D7"/>
    <w:rsid w:val="00BF29CB"/>
    <w:rsid w:val="00BF33F7"/>
    <w:rsid w:val="00BF6DFF"/>
    <w:rsid w:val="00C003BC"/>
    <w:rsid w:val="00C00649"/>
    <w:rsid w:val="00C00903"/>
    <w:rsid w:val="00C05BB5"/>
    <w:rsid w:val="00C071E0"/>
    <w:rsid w:val="00C07D41"/>
    <w:rsid w:val="00C11F54"/>
    <w:rsid w:val="00C15366"/>
    <w:rsid w:val="00C15F89"/>
    <w:rsid w:val="00C20B7E"/>
    <w:rsid w:val="00C22AF4"/>
    <w:rsid w:val="00C245B8"/>
    <w:rsid w:val="00C25734"/>
    <w:rsid w:val="00C27EF7"/>
    <w:rsid w:val="00C31487"/>
    <w:rsid w:val="00C32D7B"/>
    <w:rsid w:val="00C330D5"/>
    <w:rsid w:val="00C33396"/>
    <w:rsid w:val="00C33EEF"/>
    <w:rsid w:val="00C34B6D"/>
    <w:rsid w:val="00C35A8E"/>
    <w:rsid w:val="00C35B41"/>
    <w:rsid w:val="00C35DBA"/>
    <w:rsid w:val="00C36C8A"/>
    <w:rsid w:val="00C447AC"/>
    <w:rsid w:val="00C53D68"/>
    <w:rsid w:val="00C607C0"/>
    <w:rsid w:val="00C609F2"/>
    <w:rsid w:val="00C6567D"/>
    <w:rsid w:val="00C7223F"/>
    <w:rsid w:val="00C72915"/>
    <w:rsid w:val="00C801B5"/>
    <w:rsid w:val="00C85269"/>
    <w:rsid w:val="00C92F7E"/>
    <w:rsid w:val="00C975EA"/>
    <w:rsid w:val="00CA267C"/>
    <w:rsid w:val="00CA2C1E"/>
    <w:rsid w:val="00CA2F8B"/>
    <w:rsid w:val="00CB162A"/>
    <w:rsid w:val="00CB3C92"/>
    <w:rsid w:val="00CC31C4"/>
    <w:rsid w:val="00CC614A"/>
    <w:rsid w:val="00CD3CA4"/>
    <w:rsid w:val="00CD5BAF"/>
    <w:rsid w:val="00CD79A8"/>
    <w:rsid w:val="00CE123B"/>
    <w:rsid w:val="00CF1634"/>
    <w:rsid w:val="00CF481F"/>
    <w:rsid w:val="00CF4D2F"/>
    <w:rsid w:val="00CF620B"/>
    <w:rsid w:val="00D04CF3"/>
    <w:rsid w:val="00D104F6"/>
    <w:rsid w:val="00D10A73"/>
    <w:rsid w:val="00D13826"/>
    <w:rsid w:val="00D139BE"/>
    <w:rsid w:val="00D14264"/>
    <w:rsid w:val="00D16A9A"/>
    <w:rsid w:val="00D17D74"/>
    <w:rsid w:val="00D224C9"/>
    <w:rsid w:val="00D24B77"/>
    <w:rsid w:val="00D24EA2"/>
    <w:rsid w:val="00D307AA"/>
    <w:rsid w:val="00D355CC"/>
    <w:rsid w:val="00D416F6"/>
    <w:rsid w:val="00D418AD"/>
    <w:rsid w:val="00D44373"/>
    <w:rsid w:val="00D51E3A"/>
    <w:rsid w:val="00D523ED"/>
    <w:rsid w:val="00D54D42"/>
    <w:rsid w:val="00D56D50"/>
    <w:rsid w:val="00D647CA"/>
    <w:rsid w:val="00D65253"/>
    <w:rsid w:val="00D67F2F"/>
    <w:rsid w:val="00D73123"/>
    <w:rsid w:val="00D736E9"/>
    <w:rsid w:val="00D7562B"/>
    <w:rsid w:val="00D76F6E"/>
    <w:rsid w:val="00D8082F"/>
    <w:rsid w:val="00D81223"/>
    <w:rsid w:val="00D83A9F"/>
    <w:rsid w:val="00D84224"/>
    <w:rsid w:val="00D918B8"/>
    <w:rsid w:val="00D94565"/>
    <w:rsid w:val="00D956D6"/>
    <w:rsid w:val="00DA1F42"/>
    <w:rsid w:val="00DA3F49"/>
    <w:rsid w:val="00DB4D29"/>
    <w:rsid w:val="00DC21C1"/>
    <w:rsid w:val="00DC331A"/>
    <w:rsid w:val="00DD042C"/>
    <w:rsid w:val="00DD07BD"/>
    <w:rsid w:val="00DD43C5"/>
    <w:rsid w:val="00DD60E2"/>
    <w:rsid w:val="00DD75DA"/>
    <w:rsid w:val="00DE36BD"/>
    <w:rsid w:val="00DE67F4"/>
    <w:rsid w:val="00DF01D0"/>
    <w:rsid w:val="00DF28E0"/>
    <w:rsid w:val="00DF4F49"/>
    <w:rsid w:val="00DF5B75"/>
    <w:rsid w:val="00DF66F0"/>
    <w:rsid w:val="00E04A87"/>
    <w:rsid w:val="00E07038"/>
    <w:rsid w:val="00E07600"/>
    <w:rsid w:val="00E15A94"/>
    <w:rsid w:val="00E2281F"/>
    <w:rsid w:val="00E23C0E"/>
    <w:rsid w:val="00E27BBF"/>
    <w:rsid w:val="00E363D8"/>
    <w:rsid w:val="00E36932"/>
    <w:rsid w:val="00E42658"/>
    <w:rsid w:val="00E43975"/>
    <w:rsid w:val="00E43BBA"/>
    <w:rsid w:val="00E500C5"/>
    <w:rsid w:val="00E51E85"/>
    <w:rsid w:val="00E52A20"/>
    <w:rsid w:val="00E55D1E"/>
    <w:rsid w:val="00E5668E"/>
    <w:rsid w:val="00E56D69"/>
    <w:rsid w:val="00E57029"/>
    <w:rsid w:val="00E609B5"/>
    <w:rsid w:val="00E61DE0"/>
    <w:rsid w:val="00E63122"/>
    <w:rsid w:val="00E63F06"/>
    <w:rsid w:val="00E64886"/>
    <w:rsid w:val="00E651CF"/>
    <w:rsid w:val="00E6798F"/>
    <w:rsid w:val="00E67E0B"/>
    <w:rsid w:val="00E724F1"/>
    <w:rsid w:val="00E7751B"/>
    <w:rsid w:val="00E808A2"/>
    <w:rsid w:val="00E809E7"/>
    <w:rsid w:val="00EA73E5"/>
    <w:rsid w:val="00EB3664"/>
    <w:rsid w:val="00EB3AF7"/>
    <w:rsid w:val="00EB5D9B"/>
    <w:rsid w:val="00ED425C"/>
    <w:rsid w:val="00EE2B0A"/>
    <w:rsid w:val="00EE3198"/>
    <w:rsid w:val="00EE31DA"/>
    <w:rsid w:val="00EE6AEE"/>
    <w:rsid w:val="00EF4EF0"/>
    <w:rsid w:val="00EF57C9"/>
    <w:rsid w:val="00F0297E"/>
    <w:rsid w:val="00F07278"/>
    <w:rsid w:val="00F077A3"/>
    <w:rsid w:val="00F10471"/>
    <w:rsid w:val="00F112F6"/>
    <w:rsid w:val="00F158EE"/>
    <w:rsid w:val="00F1701C"/>
    <w:rsid w:val="00F32774"/>
    <w:rsid w:val="00F35CAC"/>
    <w:rsid w:val="00F438AA"/>
    <w:rsid w:val="00F445C1"/>
    <w:rsid w:val="00F448E2"/>
    <w:rsid w:val="00F52357"/>
    <w:rsid w:val="00F5322B"/>
    <w:rsid w:val="00F56AEB"/>
    <w:rsid w:val="00F6131B"/>
    <w:rsid w:val="00F61D17"/>
    <w:rsid w:val="00F671B9"/>
    <w:rsid w:val="00F67B2B"/>
    <w:rsid w:val="00F7278A"/>
    <w:rsid w:val="00F729C9"/>
    <w:rsid w:val="00F738E0"/>
    <w:rsid w:val="00F7451E"/>
    <w:rsid w:val="00F77D76"/>
    <w:rsid w:val="00F80B45"/>
    <w:rsid w:val="00F862A3"/>
    <w:rsid w:val="00F862F2"/>
    <w:rsid w:val="00F9005F"/>
    <w:rsid w:val="00F910F0"/>
    <w:rsid w:val="00F9271D"/>
    <w:rsid w:val="00F92953"/>
    <w:rsid w:val="00F954B8"/>
    <w:rsid w:val="00F96856"/>
    <w:rsid w:val="00FA2BB6"/>
    <w:rsid w:val="00FA440F"/>
    <w:rsid w:val="00FB04E0"/>
    <w:rsid w:val="00FB795E"/>
    <w:rsid w:val="00FC109E"/>
    <w:rsid w:val="00FC144A"/>
    <w:rsid w:val="00FC2163"/>
    <w:rsid w:val="00FC5406"/>
    <w:rsid w:val="00FD075D"/>
    <w:rsid w:val="00FD2CF3"/>
    <w:rsid w:val="00FD491E"/>
    <w:rsid w:val="00FD7385"/>
    <w:rsid w:val="00FE28E5"/>
    <w:rsid w:val="00FE6719"/>
    <w:rsid w:val="00FF2385"/>
    <w:rsid w:val="00FF3A0E"/>
    <w:rsid w:val="00FF4609"/>
    <w:rsid w:val="00FF5A01"/>
    <w:rsid w:val="00FF69EA"/>
    <w:rsid w:val="00FF72CB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7F72C7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72C7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69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444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90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647">
          <w:marLeft w:val="27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506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91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9713</TotalTime>
  <Pages>3</Pages>
  <Words>1089</Words>
  <Characters>6211</Characters>
  <Application>Microsoft Office Word</Application>
  <DocSecurity>0</DocSecurity>
  <Lines>51</Lines>
  <Paragraphs>14</Paragraphs>
  <ScaleCrop>false</ScaleCrop>
  <Company/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590</cp:revision>
  <dcterms:created xsi:type="dcterms:W3CDTF">2021-01-15T00:45:00Z</dcterms:created>
  <dcterms:modified xsi:type="dcterms:W3CDTF">2022-11-04T01:35:00Z</dcterms:modified>
</cp:coreProperties>
</file>